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4"/>
          <w:szCs w:val="3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  <w:highlight w:val="yellow"/>
        </w:rPr>
      </w:pPr>
      <w:r w:rsidDel="00000000" w:rsidR="00000000" w:rsidRPr="00000000">
        <w:rPr>
          <w:b w:val="1"/>
          <w:sz w:val="34"/>
          <w:szCs w:val="34"/>
          <w:highlight w:val="yellow"/>
          <w:rtl w:val="0"/>
        </w:rPr>
        <w:t xml:space="preserve">QTR. 2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Referrals made per agency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Comprehensive Healthcare: 31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Yakima Neighborhood Health/Connections 9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Yakima Valley Farm Workers Clinic BHS 4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Triumph Treatment Services</w:t>
        <w:tab/>
        <w:t xml:space="preserve">4</w:t>
      </w:r>
    </w:p>
    <w:p w:rsidR="00000000" w:rsidDel="00000000" w:rsidP="00000000" w:rsidRDefault="00000000" w:rsidRPr="00000000" w14:paraId="00000008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Total Mental health Pods: 10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Total Mental Health Outreach: 28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Staffing model will include: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Training and obtaining Certification of training  in Adult and child CPR First aid training, AED certification, Blood Borne Pathogens. Mental Health First aid, Co-Occurring Disorder Recognition, Trauma informed Care  Narcan application and Treatment, Culture </w:t>
        <w:br w:type="textWrapping"/>
        <w:t xml:space="preserve">Diversity Training, Equality Training, De-Escalation Techniques, Narcotics Identification and Symptoms. Crime Victims Identification and Reporting. NationalSafety Council- Defensive Driver </w:t>
        <w:br w:type="textWrapping"/>
        <w:t xml:space="preserve">Certification. HMIS user, Mission Tracker trained and Data collection. Coordinated Entry Case conferencing participation.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 Changes in this project until Behavioural Health Center was constructed.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 Vacant positions at this time</w:t>
      </w:r>
    </w:p>
    <w:p w:rsidR="00000000" w:rsidDel="00000000" w:rsidP="00000000" w:rsidRDefault="00000000" w:rsidRPr="00000000" w14:paraId="00000011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4"/>
          <w:szCs w:val="34"/>
          <w:highlight w:val="yellow"/>
        </w:rPr>
      </w:pPr>
      <w:r w:rsidDel="00000000" w:rsidR="00000000" w:rsidRPr="00000000">
        <w:rPr>
          <w:b w:val="1"/>
          <w:sz w:val="34"/>
          <w:szCs w:val="34"/>
          <w:highlight w:val="yellow"/>
          <w:rtl w:val="0"/>
        </w:rPr>
        <w:t xml:space="preserve">QTR. 3</w:t>
      </w:r>
    </w:p>
    <w:p w:rsidR="00000000" w:rsidDel="00000000" w:rsidP="00000000" w:rsidRDefault="00000000" w:rsidRPr="00000000" w14:paraId="00000013">
      <w:pPr>
        <w:rPr>
          <w:b w:val="1"/>
          <w:sz w:val="34"/>
          <w:szCs w:val="3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Referrals made per agency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Comprehensive Healthcare: 35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Yakima Neighborhood Health/Connections: 2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Yakima Valley Farm Workers Clinic BHS: 1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Triumph Treatment Services: 2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Department of Childrens and Family Services: 1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Yakima Indian Health Clinic: 1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Barth Clinic: 1</w:t>
      </w:r>
    </w:p>
    <w:p w:rsidR="00000000" w:rsidDel="00000000" w:rsidP="00000000" w:rsidRDefault="00000000" w:rsidRPr="00000000" w14:paraId="0000001C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Staffing model will include:</w:t>
      </w:r>
    </w:p>
    <w:p w:rsidR="00000000" w:rsidDel="00000000" w:rsidP="00000000" w:rsidRDefault="00000000" w:rsidRPr="00000000" w14:paraId="0000001E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Training and obtaining Certification of training  in Adult and child CPR First aid training, AED certification, Blood Borne Pathogens. Mental Health First aid, Co-Occurring Disorder Recognition, Trauma informed Care  Narcan application and Treatment, Culture </w:t>
        <w:br w:type="textWrapping"/>
        <w:t xml:space="preserve">Diversity Training, Equality Training, De-Escalation Techniques, Narcotics Identification and Symptoms. Crime Victims Identification and Reporting. NationalSafety Council- Defensive Driver </w:t>
        <w:br w:type="textWrapping"/>
        <w:t xml:space="preserve">Certification. HMIS user, Mission Tracker trained and Data collection. Coordinated Entry Case conferencing participation.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Changes in this project until Behavioural Health Center was constructed.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Vacant positions at this time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left="0" w:firstLine="0"/>
      <w:rPr>
        <w:b w:val="1"/>
        <w:sz w:val="48"/>
        <w:szCs w:val="48"/>
        <w:highlight w:val="yellow"/>
      </w:rPr>
    </w:pPr>
    <w:r w:rsidDel="00000000" w:rsidR="00000000" w:rsidRPr="00000000">
      <w:rPr>
        <w:b w:val="1"/>
        <w:sz w:val="48"/>
        <w:szCs w:val="48"/>
        <w:rtl w:val="0"/>
      </w:rPr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-380734</wp:posOffset>
          </wp:positionV>
          <wp:extent cx="709613" cy="74069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613" cy="740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ind w:firstLine="720"/>
      <w:rPr>
        <w:b w:val="1"/>
        <w:sz w:val="34"/>
        <w:szCs w:val="34"/>
      </w:rPr>
    </w:pPr>
    <w:r w:rsidDel="00000000" w:rsidR="00000000" w:rsidRPr="00000000">
      <w:rPr>
        <w:b w:val="1"/>
        <w:sz w:val="48"/>
        <w:szCs w:val="48"/>
        <w:highlight w:val="yellow"/>
        <w:rtl w:val="0"/>
      </w:rPr>
      <w:t xml:space="preserve">Mental Health Sales Tax DATA Report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